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7E6C8CBA"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610A10">
        <w:rPr>
          <w:rFonts w:ascii="Arial" w:hAnsi="Arial" w:cs="Arial"/>
          <w:b/>
          <w:sz w:val="24"/>
        </w:rPr>
        <w:t>4</w:t>
      </w:r>
      <w:r w:rsidR="0044414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610A10" w:rsidRPr="00610A10">
        <w:rPr>
          <w:rFonts w:ascii="Arial" w:hAnsi="Arial" w:cs="Arial"/>
          <w:b/>
          <w:sz w:val="24"/>
        </w:rPr>
        <w:t>R4-2500294</w:t>
      </w:r>
    </w:p>
    <w:p w14:paraId="5B9CF4B1" w14:textId="53EEA8EC" w:rsidR="00BD6168" w:rsidRDefault="00610A10"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Pr>
          <w:rFonts w:ascii="Arial" w:hAnsi="Arial" w:cs="Arial"/>
          <w:b/>
          <w:sz w:val="24"/>
        </w:rPr>
        <w:t>17</w:t>
      </w:r>
      <w:r w:rsidR="0098250D" w:rsidRPr="0098250D">
        <w:rPr>
          <w:rFonts w:ascii="Arial" w:hAnsi="Arial" w:cs="Arial"/>
          <w:b/>
          <w:sz w:val="24"/>
        </w:rPr>
        <w:t>th</w:t>
      </w:r>
      <w:r w:rsidR="003F59B1">
        <w:rPr>
          <w:rFonts w:ascii="Arial" w:hAnsi="Arial" w:cs="Arial"/>
          <w:b/>
          <w:sz w:val="24"/>
        </w:rPr>
        <w:t xml:space="preserve"> </w:t>
      </w:r>
      <w:r w:rsidR="0098250D" w:rsidRPr="0098250D">
        <w:rPr>
          <w:rFonts w:ascii="Arial" w:hAnsi="Arial" w:cs="Arial"/>
          <w:b/>
          <w:sz w:val="24"/>
        </w:rPr>
        <w:t xml:space="preserve">– </w:t>
      </w:r>
      <w:r w:rsidR="00444146">
        <w:rPr>
          <w:rFonts w:ascii="Arial" w:hAnsi="Arial" w:cs="Arial"/>
          <w:b/>
          <w:sz w:val="24"/>
        </w:rPr>
        <w:t>2</w:t>
      </w:r>
      <w:r>
        <w:rPr>
          <w:rFonts w:ascii="Arial" w:hAnsi="Arial" w:cs="Arial"/>
          <w:b/>
          <w:sz w:val="24"/>
        </w:rPr>
        <w:t>1st</w:t>
      </w:r>
      <w:r w:rsidR="0098250D" w:rsidRPr="0098250D">
        <w:rPr>
          <w:rFonts w:ascii="Arial" w:hAnsi="Arial" w:cs="Arial"/>
          <w:b/>
          <w:sz w:val="24"/>
        </w:rPr>
        <w:t xml:space="preserve"> </w:t>
      </w:r>
      <w:r>
        <w:rPr>
          <w:rFonts w:ascii="Arial" w:hAnsi="Arial" w:cs="Arial"/>
          <w:b/>
          <w:sz w:val="24"/>
        </w:rPr>
        <w:t>February</w:t>
      </w:r>
      <w:r w:rsidR="0098250D" w:rsidRPr="0098250D">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18169756" w:rsidR="00D309CC" w:rsidRPr="006C351C" w:rsidRDefault="00D309CC" w:rsidP="00E27B54">
      <w:pPr>
        <w:pStyle w:val="CH"/>
        <w:rPr>
          <w:b w:val="0"/>
        </w:rPr>
      </w:pPr>
      <w:r w:rsidRPr="0008103A">
        <w:t>Agenda item:</w:t>
      </w:r>
      <w:r>
        <w:tab/>
      </w:r>
      <w:r w:rsidR="00610A10" w:rsidRPr="00610A10">
        <w:t>7.10.2.2.1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356FAF0" w:rsidR="00D309CC" w:rsidRPr="006C351C" w:rsidRDefault="00D309CC" w:rsidP="003F59B1">
      <w:pPr>
        <w:pStyle w:val="CH"/>
        <w:ind w:left="2260" w:hanging="2260"/>
      </w:pPr>
      <w:r w:rsidRPr="006C351C">
        <w:t>Title:</w:t>
      </w:r>
      <w:r w:rsidRPr="006C351C">
        <w:tab/>
      </w:r>
      <w:r w:rsidR="003F59B1" w:rsidRPr="003F59B1">
        <w:t xml:space="preserve">On restricted set of </w:t>
      </w:r>
      <w:r w:rsidR="006C7DE7">
        <w:t>power back-off</w:t>
      </w:r>
      <w:r w:rsidR="003F59B1" w:rsidRPr="003F59B1">
        <w:t xml:space="preserve">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6D2C02A2" w:rsidR="00DE6BE6" w:rsidRDefault="00FC371C" w:rsidP="00E65966">
      <w:pPr>
        <w:pStyle w:val="Heading1"/>
        <w:keepNext w:val="0"/>
        <w:keepLines w:val="0"/>
      </w:pPr>
      <w:r>
        <w:t>2</w:t>
      </w:r>
      <w:r>
        <w:tab/>
      </w:r>
      <w:r w:rsidR="006C7DE7">
        <w:t>Power back-off</w:t>
      </w:r>
      <w:r w:rsidR="005C6D6D">
        <w:t xml:space="preserve">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1AB09A8C" w:rsidR="00F402C7" w:rsidRDefault="00F402C7" w:rsidP="00F402C7">
      <w:pPr>
        <w:pStyle w:val="B1"/>
        <w:rPr>
          <w:noProof/>
        </w:rPr>
      </w:pPr>
      <w:r>
        <w:rPr>
          <w:noProof/>
        </w:rPr>
        <w:t>-</w:t>
      </w:r>
      <w:r>
        <w:rPr>
          <w:noProof/>
        </w:rPr>
        <w:tab/>
      </w:r>
      <w:r w:rsidR="003F68E6">
        <w:rPr>
          <w:noProof/>
        </w:rPr>
        <w:t>Channel bandwidth(s). If a band is larger than 5MHz, then simulations are run for every standard channel bandwidth.</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77DFE24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6C7DE7">
        <w:rPr>
          <w:noProof/>
        </w:rPr>
        <w:t>power back-off</w:t>
      </w:r>
      <w:r w:rsidR="00326299">
        <w:rPr>
          <w:noProof/>
        </w:rPr>
        <w:t xml:space="preserve"> simulations will have to repeated for existing bands and will have to be conducted for new bands. </w:t>
      </w:r>
    </w:p>
    <w:p w14:paraId="28C3A567" w14:textId="77777777" w:rsidR="00326299" w:rsidRDefault="00326299" w:rsidP="00B43710">
      <w:pPr>
        <w:jc w:val="both"/>
      </w:pPr>
    </w:p>
    <w:p w14:paraId="31CAFCC5" w14:textId="58503E85" w:rsidR="00BD5FE5" w:rsidRDefault="00326299" w:rsidP="00B43710">
      <w:pPr>
        <w:jc w:val="both"/>
      </w:pPr>
      <w:r>
        <w:t xml:space="preserve">So as can be seen, it is a non-trivial number of </w:t>
      </w:r>
      <w:r w:rsidR="006C7DE7">
        <w:t>power back-off</w:t>
      </w:r>
      <w:r>
        <w:t xml:space="preserve">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521BB35B" w:rsidR="00326299" w:rsidRDefault="00326299" w:rsidP="00326299">
      <w:pPr>
        <w:pStyle w:val="Heading2"/>
      </w:pPr>
      <w:r>
        <w:t>2.2</w:t>
      </w:r>
      <w:r>
        <w:tab/>
      </w:r>
      <w:r w:rsidR="006C7DE7">
        <w:t>S</w:t>
      </w:r>
      <w:r>
        <w:t>implifications for the satellite bands</w:t>
      </w:r>
    </w:p>
    <w:p w14:paraId="03440BCF" w14:textId="0BBC8A92"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simulations by not treating some scenarios and combinations which to our understanding are anyway not practical for satellite systems. </w:t>
      </w:r>
    </w:p>
    <w:p w14:paraId="66B11093" w14:textId="774DBABA"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w:t>
      </w:r>
    </w:p>
    <w:p w14:paraId="21FC93C4" w14:textId="26A711BF" w:rsidR="00BA1B8A" w:rsidRDefault="00642297" w:rsidP="00BA1B8A">
      <w:pPr>
        <w:pStyle w:val="B1"/>
        <w:rPr>
          <w:noProof/>
        </w:rPr>
      </w:pPr>
      <w:r>
        <w:rPr>
          <w:noProof/>
        </w:rPr>
        <w:t>-</w:t>
      </w:r>
      <w:r>
        <w:rPr>
          <w:noProof/>
        </w:rPr>
        <w:tab/>
      </w:r>
      <w:r w:rsidR="00BA1B8A">
        <w:rPr>
          <w:noProof/>
        </w:rPr>
        <w:t xml:space="preserve">CP-OFDM. According to a number of the </w:t>
      </w:r>
      <w:r w:rsidR="006C7DE7">
        <w:rPr>
          <w:noProof/>
        </w:rPr>
        <w:t>power back-off</w:t>
      </w:r>
      <w:r w:rsidR="00BA1B8A">
        <w:rPr>
          <w:noProof/>
        </w:rPr>
        <w:t xml:space="preserve"> simulations, CP-OFDM performance is much worse comparing to DFT-s-OFDM and PI/2 BPSK when the emission requirements are concerned. So to avoid unnecessary power back-off, an operator would naturally choose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r w:rsidR="00CF4E71">
        <w:rPr>
          <w:noProof/>
        </w:rPr>
        <w:t>Referring to Figure 2.2-1 below as an example, while the DFT-s-OFDM QPSK and PI/2 BPSK has the maximum back-off values of 2.5..3.5dB, CP-OFDM maximum power back-off can be up to 6dB.</w:t>
      </w:r>
    </w:p>
    <w:p w14:paraId="71BD85AA" w14:textId="1A5D8E32"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w:t>
      </w:r>
      <w:r w:rsidR="006C7DE7">
        <w:rPr>
          <w:noProof/>
        </w:rPr>
        <w:t xml:space="preserve">the total </w:t>
      </w:r>
      <w:r w:rsidR="00106BF6">
        <w:rPr>
          <w:noProof/>
        </w:rPr>
        <w:t xml:space="preserve">number of simulations. </w:t>
      </w:r>
      <w:r>
        <w:rPr>
          <w:noProof/>
        </w:rPr>
        <w:t xml:space="preserve"> </w:t>
      </w:r>
      <w:r w:rsidR="0041182B">
        <w:rPr>
          <w:noProof/>
        </w:rPr>
        <w:t>As can be seen from Figure 2.2-1, if a band has strict out-of-band emission requirements, then large RB allocations are the ones that will have highest back-off values,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6DD660A8" w14:textId="77777777" w:rsidR="00CF4E71" w:rsidRDefault="00CF4E71" w:rsidP="00CF4E71">
      <w:pPr>
        <w:pStyle w:val="TH"/>
      </w:pPr>
      <w:r w:rsidRPr="006525BE">
        <w:rPr>
          <w:noProof/>
        </w:rPr>
        <w:lastRenderedPageBreak/>
        <w:drawing>
          <wp:inline distT="0" distB="0" distL="0" distR="0" wp14:anchorId="4252854F" wp14:editId="72D0FF5D">
            <wp:extent cx="6123600" cy="1436400"/>
            <wp:effectExtent l="0" t="0" r="0" b="0"/>
            <wp:docPr id="646776474" name="Picture 646776474" descr="A picture containing text, pl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lot, diagram, line&#10;&#10;Description automatically generated"/>
                    <pic:cNvPicPr/>
                  </pic:nvPicPr>
                  <pic:blipFill>
                    <a:blip r:embed="rId9"/>
                    <a:stretch>
                      <a:fillRect/>
                    </a:stretch>
                  </pic:blipFill>
                  <pic:spPr>
                    <a:xfrm>
                      <a:off x="0" y="0"/>
                      <a:ext cx="6123600" cy="1436400"/>
                    </a:xfrm>
                    <a:prstGeom prst="rect">
                      <a:avLst/>
                    </a:prstGeom>
                  </pic:spPr>
                </pic:pic>
              </a:graphicData>
            </a:graphic>
          </wp:inline>
        </w:drawing>
      </w:r>
    </w:p>
    <w:p w14:paraId="5446FC86" w14:textId="50C8CB0C" w:rsidR="00CF4E71" w:rsidRDefault="00CF4E71" w:rsidP="00CF4E71">
      <w:pPr>
        <w:pStyle w:val="TF"/>
      </w:pPr>
      <w:r>
        <w:t>Figure 2.2-1: Power back-off values for band n254 the 5MHz channel at Fc=1612.5MHz with PC3.</w:t>
      </w:r>
    </w:p>
    <w:p w14:paraId="43F89A97" w14:textId="77777777" w:rsidR="00CF4E71" w:rsidRDefault="00CF4E71" w:rsidP="008163E0"/>
    <w:p w14:paraId="4E66F884" w14:textId="637FB7EC" w:rsidR="008163E0" w:rsidRDefault="008163E0" w:rsidP="008163E0">
      <w:r>
        <w:t xml:space="preserve">Table 2.2-1 gives a numerical overview of how many A-MPR simulations we need to run just a single case of the given channel bandwidth if the maximum UL allocations are not restricted, i.e. it can be as large as the channel bandwidth, and if </w:t>
      </w:r>
      <w:r w:rsidR="00E84144">
        <w:t xml:space="preserve">both </w:t>
      </w:r>
      <w:r>
        <w:t>waveforms</w:t>
      </w:r>
      <w:r w:rsidR="00E84144">
        <w:t xml:space="preserve"> </w:t>
      </w:r>
      <w:r>
        <w:t>(CP-OFDM, DFT-s-OPFDM</w:t>
      </w:r>
      <w:r w:rsidR="00E84144">
        <w:t xml:space="preserve">) and all modulations </w:t>
      </w:r>
      <w:proofErr w:type="gramStart"/>
      <w:r>
        <w:t>have to</w:t>
      </w:r>
      <w:proofErr w:type="gramEnd"/>
      <w:r>
        <w:t xml:space="preserve"> be tested. The table also shows that if we limit the maximum allocation size to e.g. 6RB and test only </w:t>
      </w:r>
      <w:r w:rsidR="00E84144">
        <w:t xml:space="preserve">DFT-s-OFDM with </w:t>
      </w:r>
      <w:r>
        <w:t>QPSK</w:t>
      </w:r>
      <w:r w:rsidR="00E84144">
        <w:t xml:space="preserve"> and</w:t>
      </w:r>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715B30F" w:rsidR="00322A0B" w:rsidRPr="008163E0" w:rsidRDefault="008163E0" w:rsidP="008163E0">
      <w:pPr>
        <w:pStyle w:val="TH"/>
        <w:rPr>
          <w:lang w:val="en-US"/>
        </w:rPr>
      </w:pPr>
      <w:r>
        <w:rPr>
          <w:lang w:val="en-US"/>
        </w:rPr>
        <w:t>Table 2.2-1: Summary of A-MPR simulations needed for a single case of the given channel bandwidth.</w:t>
      </w:r>
    </w:p>
    <w:tbl>
      <w:tblPr>
        <w:tblStyle w:val="TableGrid"/>
        <w:tblW w:w="0" w:type="auto"/>
        <w:tblLook w:val="04A0" w:firstRow="1" w:lastRow="0" w:firstColumn="1" w:lastColumn="0" w:noHBand="0" w:noVBand="1"/>
      </w:tblPr>
      <w:tblGrid>
        <w:gridCol w:w="1383"/>
        <w:gridCol w:w="1312"/>
        <w:gridCol w:w="1560"/>
        <w:gridCol w:w="1467"/>
        <w:gridCol w:w="1644"/>
        <w:gridCol w:w="2265"/>
      </w:tblGrid>
      <w:tr w:rsidR="008163E0" w14:paraId="0E9A112F" w14:textId="77777777" w:rsidTr="005558F9">
        <w:tc>
          <w:tcPr>
            <w:tcW w:w="1383" w:type="dxa"/>
            <w:vMerge w:val="restart"/>
          </w:tcPr>
          <w:p w14:paraId="0BAB4754" w14:textId="5AC75404" w:rsidR="008163E0" w:rsidRPr="008163E0" w:rsidRDefault="008163E0" w:rsidP="008163E0">
            <w:pPr>
              <w:pStyle w:val="TAH"/>
            </w:pPr>
            <w:r w:rsidRPr="008163E0">
              <w:t>Channel</w:t>
            </w:r>
          </w:p>
        </w:tc>
        <w:tc>
          <w:tcPr>
            <w:tcW w:w="1312" w:type="dxa"/>
            <w:vMerge w:val="restart"/>
          </w:tcPr>
          <w:p w14:paraId="44DC2B65" w14:textId="1B6D421B" w:rsidR="008163E0" w:rsidRPr="008163E0" w:rsidRDefault="008163E0" w:rsidP="008163E0">
            <w:pPr>
              <w:pStyle w:val="TAH"/>
            </w:pPr>
            <w:r w:rsidRPr="008163E0">
              <w:t>N_RB</w:t>
            </w:r>
          </w:p>
        </w:tc>
        <w:tc>
          <w:tcPr>
            <w:tcW w:w="3027" w:type="dxa"/>
            <w:gridSpan w:val="2"/>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5558F9">
        <w:tc>
          <w:tcPr>
            <w:tcW w:w="1383" w:type="dxa"/>
            <w:vMerge/>
          </w:tcPr>
          <w:p w14:paraId="4791E33C" w14:textId="77777777" w:rsidR="008163E0" w:rsidRPr="008163E0" w:rsidRDefault="008163E0" w:rsidP="008163E0">
            <w:pPr>
              <w:pStyle w:val="TAH"/>
            </w:pPr>
          </w:p>
        </w:tc>
        <w:tc>
          <w:tcPr>
            <w:tcW w:w="1312" w:type="dxa"/>
            <w:vMerge/>
          </w:tcPr>
          <w:p w14:paraId="42C74040" w14:textId="77777777" w:rsidR="008163E0" w:rsidRPr="008163E0" w:rsidRDefault="008163E0" w:rsidP="008163E0">
            <w:pPr>
              <w:pStyle w:val="TAH"/>
            </w:pPr>
          </w:p>
        </w:tc>
        <w:tc>
          <w:tcPr>
            <w:tcW w:w="1560" w:type="dxa"/>
          </w:tcPr>
          <w:p w14:paraId="70F8ADB7" w14:textId="35BFC2AF" w:rsidR="008163E0" w:rsidRPr="008163E0" w:rsidRDefault="000B544C" w:rsidP="008163E0">
            <w:pPr>
              <w:pStyle w:val="TAH"/>
            </w:pPr>
            <w:r>
              <w:t>DFT-s-OFDM</w:t>
            </w:r>
          </w:p>
        </w:tc>
        <w:tc>
          <w:tcPr>
            <w:tcW w:w="1467" w:type="dxa"/>
          </w:tcPr>
          <w:p w14:paraId="0F2D36DA" w14:textId="189C95A8" w:rsidR="008163E0" w:rsidRPr="008163E0" w:rsidRDefault="000B544C" w:rsidP="008163E0">
            <w:pPr>
              <w:pStyle w:val="TAH"/>
            </w:pPr>
            <w:r>
              <w:t>CP-OFDM</w:t>
            </w:r>
          </w:p>
        </w:tc>
        <w:tc>
          <w:tcPr>
            <w:tcW w:w="1644" w:type="dxa"/>
          </w:tcPr>
          <w:p w14:paraId="549DF5ED" w14:textId="4A261EF4" w:rsidR="008163E0" w:rsidRPr="008163E0" w:rsidRDefault="003D2873" w:rsidP="008163E0">
            <w:pPr>
              <w:pStyle w:val="TAH"/>
            </w:pPr>
            <w:r>
              <w:t>DFT-s-OFDM / CP-OFDM</w:t>
            </w:r>
          </w:p>
        </w:tc>
        <w:tc>
          <w:tcPr>
            <w:tcW w:w="2265" w:type="dxa"/>
          </w:tcPr>
          <w:p w14:paraId="1AB1D289" w14:textId="337E5713" w:rsidR="003D4220" w:rsidRDefault="00F96334" w:rsidP="008163E0">
            <w:pPr>
              <w:pStyle w:val="TAH"/>
            </w:pPr>
            <w:r>
              <w:t xml:space="preserve">DFT-s-OFDM with </w:t>
            </w:r>
          </w:p>
          <w:p w14:paraId="4AF06FCC" w14:textId="63CF16FD" w:rsidR="008163E0" w:rsidRPr="008163E0" w:rsidRDefault="00F96334" w:rsidP="008163E0">
            <w:pPr>
              <w:pStyle w:val="TAH"/>
            </w:pPr>
            <w:r>
              <w:t>PI/2 BPSK and QPSK</w:t>
            </w:r>
          </w:p>
        </w:tc>
      </w:tr>
      <w:tr w:rsidR="008163E0" w14:paraId="5A66F1DF" w14:textId="77777777" w:rsidTr="005558F9">
        <w:tc>
          <w:tcPr>
            <w:tcW w:w="1383" w:type="dxa"/>
          </w:tcPr>
          <w:p w14:paraId="139958B7" w14:textId="04655CC5" w:rsidR="008163E0" w:rsidRPr="008163E0" w:rsidRDefault="008163E0" w:rsidP="008163E0">
            <w:pPr>
              <w:pStyle w:val="TAC"/>
            </w:pPr>
            <w:r>
              <w:t>5MHz</w:t>
            </w:r>
          </w:p>
        </w:tc>
        <w:tc>
          <w:tcPr>
            <w:tcW w:w="1312" w:type="dxa"/>
          </w:tcPr>
          <w:p w14:paraId="7CED13E8" w14:textId="5C206A3F" w:rsidR="008163E0" w:rsidRPr="008163E0" w:rsidRDefault="008163E0" w:rsidP="008163E0">
            <w:pPr>
              <w:pStyle w:val="TAC"/>
            </w:pPr>
            <w:r>
              <w:t>25</w:t>
            </w:r>
          </w:p>
        </w:tc>
        <w:tc>
          <w:tcPr>
            <w:tcW w:w="1560" w:type="dxa"/>
          </w:tcPr>
          <w:p w14:paraId="2E21AAA9" w14:textId="10DF44FA" w:rsidR="008163E0" w:rsidRPr="008163E0" w:rsidRDefault="00BC3AB1" w:rsidP="008163E0">
            <w:pPr>
              <w:pStyle w:val="TAC"/>
            </w:pPr>
            <w:r>
              <w:t>238</w:t>
            </w:r>
          </w:p>
        </w:tc>
        <w:tc>
          <w:tcPr>
            <w:tcW w:w="1467" w:type="dxa"/>
          </w:tcPr>
          <w:p w14:paraId="5C9CE724" w14:textId="6065F2D3" w:rsidR="008163E0" w:rsidRPr="008163E0" w:rsidRDefault="00BC3AB1" w:rsidP="008163E0">
            <w:pPr>
              <w:pStyle w:val="TAC"/>
            </w:pPr>
            <w:r>
              <w:t>325</w:t>
            </w:r>
          </w:p>
        </w:tc>
        <w:tc>
          <w:tcPr>
            <w:tcW w:w="1644" w:type="dxa"/>
          </w:tcPr>
          <w:p w14:paraId="0A5C3071" w14:textId="422177D9" w:rsidR="008163E0" w:rsidRPr="008163E0" w:rsidRDefault="003D2873" w:rsidP="008163E0">
            <w:pPr>
              <w:pStyle w:val="TAC"/>
            </w:pPr>
            <w:r>
              <w:t>135</w:t>
            </w:r>
          </w:p>
        </w:tc>
        <w:tc>
          <w:tcPr>
            <w:tcW w:w="2265" w:type="dxa"/>
          </w:tcPr>
          <w:p w14:paraId="0DBB02CC" w14:textId="18FF8897" w:rsidR="008163E0" w:rsidRPr="008163E0" w:rsidRDefault="00B44472" w:rsidP="008163E0">
            <w:pPr>
              <w:pStyle w:val="TAC"/>
            </w:pPr>
            <w:r>
              <w:t>2</w:t>
            </w:r>
            <w:r w:rsidR="008433DC">
              <w:t>70</w:t>
            </w:r>
          </w:p>
        </w:tc>
      </w:tr>
      <w:tr w:rsidR="008163E0" w14:paraId="3610B1A7" w14:textId="77777777" w:rsidTr="005558F9">
        <w:tc>
          <w:tcPr>
            <w:tcW w:w="1383" w:type="dxa"/>
          </w:tcPr>
          <w:p w14:paraId="3A59E6D5" w14:textId="23129112" w:rsidR="008163E0" w:rsidRPr="008163E0" w:rsidRDefault="008163E0" w:rsidP="008163E0">
            <w:pPr>
              <w:pStyle w:val="TAC"/>
            </w:pPr>
            <w:r>
              <w:t>10MHz</w:t>
            </w:r>
          </w:p>
        </w:tc>
        <w:tc>
          <w:tcPr>
            <w:tcW w:w="1312" w:type="dxa"/>
          </w:tcPr>
          <w:p w14:paraId="25F945A8" w14:textId="5217447F" w:rsidR="008163E0" w:rsidRPr="008163E0" w:rsidRDefault="008163E0" w:rsidP="008163E0">
            <w:pPr>
              <w:pStyle w:val="TAC"/>
            </w:pPr>
            <w:r>
              <w:t>52</w:t>
            </w:r>
          </w:p>
        </w:tc>
        <w:tc>
          <w:tcPr>
            <w:tcW w:w="1560" w:type="dxa"/>
          </w:tcPr>
          <w:p w14:paraId="66F2146C" w14:textId="1E27CAA5" w:rsidR="008163E0" w:rsidRPr="008163E0" w:rsidRDefault="00BC3AB1" w:rsidP="008163E0">
            <w:pPr>
              <w:pStyle w:val="TAC"/>
            </w:pPr>
            <w:r w:rsidRPr="00BC3AB1">
              <w:t>786</w:t>
            </w:r>
          </w:p>
        </w:tc>
        <w:tc>
          <w:tcPr>
            <w:tcW w:w="1467" w:type="dxa"/>
          </w:tcPr>
          <w:p w14:paraId="70065DA1" w14:textId="7795E1D9" w:rsidR="008163E0" w:rsidRPr="008163E0" w:rsidRDefault="00BC3AB1" w:rsidP="008163E0">
            <w:pPr>
              <w:pStyle w:val="TAC"/>
            </w:pPr>
            <w:r w:rsidRPr="00BC3AB1">
              <w:t>1378</w:t>
            </w:r>
          </w:p>
        </w:tc>
        <w:tc>
          <w:tcPr>
            <w:tcW w:w="1644" w:type="dxa"/>
          </w:tcPr>
          <w:p w14:paraId="3F42E6FE" w14:textId="0B096AE4" w:rsidR="008163E0" w:rsidRPr="008163E0" w:rsidRDefault="008163E0" w:rsidP="008163E0">
            <w:pPr>
              <w:pStyle w:val="TAC"/>
            </w:pPr>
            <w:r>
              <w:t>297</w:t>
            </w:r>
          </w:p>
        </w:tc>
        <w:tc>
          <w:tcPr>
            <w:tcW w:w="2265" w:type="dxa"/>
          </w:tcPr>
          <w:p w14:paraId="04A481B5" w14:textId="5845312B" w:rsidR="008163E0" w:rsidRPr="008163E0" w:rsidRDefault="008163E0" w:rsidP="008163E0">
            <w:pPr>
              <w:pStyle w:val="TAC"/>
            </w:pPr>
            <w:r>
              <w:t>594</w:t>
            </w:r>
          </w:p>
        </w:tc>
      </w:tr>
      <w:tr w:rsidR="008163E0" w14:paraId="15A6FCFE" w14:textId="77777777" w:rsidTr="005558F9">
        <w:tc>
          <w:tcPr>
            <w:tcW w:w="1383" w:type="dxa"/>
          </w:tcPr>
          <w:p w14:paraId="397C36A6" w14:textId="68DDDA1B" w:rsidR="008163E0" w:rsidRPr="008163E0" w:rsidRDefault="008163E0" w:rsidP="008163E0">
            <w:pPr>
              <w:pStyle w:val="TAC"/>
            </w:pPr>
            <w:r>
              <w:t>15MHz</w:t>
            </w:r>
          </w:p>
        </w:tc>
        <w:tc>
          <w:tcPr>
            <w:tcW w:w="1312" w:type="dxa"/>
          </w:tcPr>
          <w:p w14:paraId="6D49561E" w14:textId="3316443F" w:rsidR="008163E0" w:rsidRPr="008163E0" w:rsidRDefault="008163E0" w:rsidP="008163E0">
            <w:pPr>
              <w:pStyle w:val="TAC"/>
            </w:pPr>
            <w:r>
              <w:t>79</w:t>
            </w:r>
          </w:p>
        </w:tc>
        <w:tc>
          <w:tcPr>
            <w:tcW w:w="1560" w:type="dxa"/>
          </w:tcPr>
          <w:p w14:paraId="3179B89B" w14:textId="4C062DBA" w:rsidR="008163E0" w:rsidRPr="008163E0" w:rsidRDefault="00BC3AB1" w:rsidP="008163E0">
            <w:pPr>
              <w:pStyle w:val="TAC"/>
            </w:pPr>
            <w:r w:rsidRPr="00BC3AB1">
              <w:t>1509</w:t>
            </w:r>
          </w:p>
        </w:tc>
        <w:tc>
          <w:tcPr>
            <w:tcW w:w="1467" w:type="dxa"/>
          </w:tcPr>
          <w:p w14:paraId="25ABE7F4" w14:textId="241527FE" w:rsidR="008163E0" w:rsidRPr="008163E0" w:rsidRDefault="00BC3AB1" w:rsidP="008163E0">
            <w:pPr>
              <w:pStyle w:val="TAC"/>
            </w:pPr>
            <w:r w:rsidRPr="00BC3AB1">
              <w:t>3160</w:t>
            </w:r>
          </w:p>
        </w:tc>
        <w:tc>
          <w:tcPr>
            <w:tcW w:w="1644" w:type="dxa"/>
          </w:tcPr>
          <w:p w14:paraId="4EEE46B8" w14:textId="5AABF292" w:rsidR="008163E0" w:rsidRPr="008163E0" w:rsidRDefault="008163E0" w:rsidP="008163E0">
            <w:pPr>
              <w:pStyle w:val="TAC"/>
            </w:pPr>
            <w:r>
              <w:t>4</w:t>
            </w:r>
            <w:r w:rsidR="003D2873">
              <w:t>59</w:t>
            </w:r>
          </w:p>
        </w:tc>
        <w:tc>
          <w:tcPr>
            <w:tcW w:w="2265" w:type="dxa"/>
          </w:tcPr>
          <w:p w14:paraId="261BDAD6" w14:textId="4F5DDA0C" w:rsidR="008163E0" w:rsidRPr="008163E0" w:rsidRDefault="008433DC" w:rsidP="008163E0">
            <w:pPr>
              <w:pStyle w:val="TAC"/>
            </w:pPr>
            <w:r>
              <w:t>91</w:t>
            </w:r>
            <w:r w:rsidR="008163E0">
              <w:t>8</w:t>
            </w:r>
          </w:p>
        </w:tc>
      </w:tr>
      <w:tr w:rsidR="008163E0" w14:paraId="4EA3C014" w14:textId="77777777" w:rsidTr="005558F9">
        <w:tc>
          <w:tcPr>
            <w:tcW w:w="1383" w:type="dxa"/>
          </w:tcPr>
          <w:p w14:paraId="4244470F" w14:textId="77777777" w:rsidR="008163E0" w:rsidRPr="008163E0" w:rsidRDefault="008163E0" w:rsidP="008163E0">
            <w:pPr>
              <w:pStyle w:val="TAC"/>
            </w:pPr>
          </w:p>
        </w:tc>
        <w:tc>
          <w:tcPr>
            <w:tcW w:w="1312" w:type="dxa"/>
          </w:tcPr>
          <w:p w14:paraId="5066D96C" w14:textId="77777777" w:rsidR="008163E0" w:rsidRPr="008163E0" w:rsidRDefault="008163E0" w:rsidP="008163E0">
            <w:pPr>
              <w:pStyle w:val="TAC"/>
            </w:pPr>
          </w:p>
        </w:tc>
        <w:tc>
          <w:tcPr>
            <w:tcW w:w="1560" w:type="dxa"/>
          </w:tcPr>
          <w:p w14:paraId="14AFEF4F" w14:textId="77777777" w:rsidR="008163E0" w:rsidRPr="008163E0" w:rsidRDefault="008163E0" w:rsidP="008163E0">
            <w:pPr>
              <w:pStyle w:val="TAC"/>
            </w:pPr>
          </w:p>
        </w:tc>
        <w:tc>
          <w:tcPr>
            <w:tcW w:w="1467" w:type="dxa"/>
          </w:tcPr>
          <w:p w14:paraId="3C7C72D4" w14:textId="77777777" w:rsidR="008163E0" w:rsidRPr="008163E0" w:rsidRDefault="008163E0" w:rsidP="008163E0">
            <w:pPr>
              <w:pStyle w:val="TAC"/>
            </w:pPr>
          </w:p>
        </w:tc>
        <w:tc>
          <w:tcPr>
            <w:tcW w:w="1644" w:type="dxa"/>
          </w:tcPr>
          <w:p w14:paraId="0D4E13A6" w14:textId="77777777" w:rsidR="008163E0" w:rsidRPr="008163E0" w:rsidRDefault="008163E0" w:rsidP="008163E0">
            <w:pPr>
              <w:pStyle w:val="TAC"/>
            </w:pPr>
          </w:p>
        </w:tc>
        <w:tc>
          <w:tcPr>
            <w:tcW w:w="2265" w:type="dxa"/>
          </w:tcPr>
          <w:p w14:paraId="0754789C" w14:textId="77777777" w:rsidR="008163E0" w:rsidRPr="008163E0" w:rsidRDefault="008163E0" w:rsidP="008163E0">
            <w:pPr>
              <w:pStyle w:val="TAC"/>
            </w:pPr>
          </w:p>
        </w:tc>
      </w:tr>
    </w:tbl>
    <w:p w14:paraId="4E6267E9" w14:textId="77777777" w:rsidR="008163E0" w:rsidRPr="003801C1" w:rsidRDefault="008163E0" w:rsidP="008163E0">
      <w:pPr>
        <w:rPr>
          <w:lang w:val="en-US"/>
        </w:rPr>
      </w:pPr>
    </w:p>
    <w:p w14:paraId="29FC92EF" w14:textId="77777777" w:rsidR="0094373D" w:rsidRDefault="0094373D" w:rsidP="00E65966">
      <w:pPr>
        <w:spacing w:after="0"/>
        <w:jc w:val="center"/>
      </w:pPr>
    </w:p>
    <w:p w14:paraId="6CFB2F33" w14:textId="29505346" w:rsidR="00322A0B" w:rsidRDefault="00E9649F" w:rsidP="009A1316">
      <w:pPr>
        <w:pStyle w:val="Proposal"/>
      </w:pPr>
      <w:bookmarkStart w:id="1" w:name="_Toc158620550"/>
      <w:bookmarkStart w:id="2" w:name="_Toc158621454"/>
      <w:bookmarkStart w:id="3" w:name="_Toc165993507"/>
      <w:bookmarkStart w:id="4" w:name="_Toc173683168"/>
      <w:bookmarkStart w:id="5" w:name="_Toc173685739"/>
      <w:bookmarkStart w:id="6" w:name="_Toc178773350"/>
      <w:bookmarkStart w:id="7" w:name="_Toc178773419"/>
      <w:bookmarkStart w:id="8" w:name="_Toc178777079"/>
      <w:r w:rsidRPr="00872482">
        <w:rPr>
          <w:bCs/>
        </w:rPr>
        <w:t>Proposal</w:t>
      </w:r>
      <w:r w:rsidR="003801C1">
        <w:rPr>
          <w:bCs/>
        </w:rPr>
        <w:t xml:space="preserve"> 1</w:t>
      </w:r>
      <w:r w:rsidRPr="00872482">
        <w:rPr>
          <w:bCs/>
        </w:rPr>
        <w:t>:</w:t>
      </w:r>
      <w:r w:rsidR="00761DA3">
        <w:tab/>
      </w:r>
      <w:bookmarkEnd w:id="1"/>
      <w:bookmarkEnd w:id="2"/>
      <w:bookmarkEnd w:id="3"/>
      <w:bookmarkEnd w:id="4"/>
      <w:r w:rsidR="00304DE1">
        <w:t xml:space="preserve">To reduce number of </w:t>
      </w:r>
      <w:r w:rsidR="006C7DE7">
        <w:t>power back-off</w:t>
      </w:r>
      <w:r w:rsidR="00304DE1">
        <w:t xml:space="preserve"> simulations for the FR1 satellite bands, we suggest not considering scenarios/combinations that are not expected for the satellite bands</w:t>
      </w:r>
      <w:r w:rsidR="009A1316">
        <w:t>: large RB allocations, CP-OFDM, higher-order modulations.</w:t>
      </w:r>
      <w:bookmarkEnd w:id="5"/>
      <w:bookmarkEnd w:id="6"/>
      <w:bookmarkEnd w:id="7"/>
      <w:bookmarkEnd w:id="8"/>
      <w:r w:rsidR="00304DE1">
        <w:t xml:space="preserve"> </w:t>
      </w:r>
      <w:r w:rsidR="00326299">
        <w:t xml:space="preserve"> </w:t>
      </w:r>
    </w:p>
    <w:p w14:paraId="60F00161" w14:textId="77777777" w:rsidR="003801C1" w:rsidRDefault="003801C1" w:rsidP="003801C1"/>
    <w:p w14:paraId="03073FDE" w14:textId="28CD8DB7" w:rsidR="003801C1" w:rsidRDefault="003801C1" w:rsidP="003801C1">
      <w:r>
        <w:t>It is worth noting that Table 2.2-1 assumes that the UL allocation size is limited to 6RBs, but it does not put a restriction on the configured UL channel bandwidth. Depending on the NTN band size and defined channel bandwidths, the network can configure the corresponding (maximum) UL channel bandwidth allowing the network to schedule resources in a more flexible way.</w:t>
      </w:r>
    </w:p>
    <w:p w14:paraId="61DBA6DC" w14:textId="77777777" w:rsidR="003801C1" w:rsidRDefault="003801C1" w:rsidP="003801C1">
      <w:r>
        <w:t>As for the actual restricted UL allocation size, we ask RAN WG4 to contemplate further potential options as a suitable trade-off between the anticipated maximum allocation size and specification efforts:</w:t>
      </w:r>
    </w:p>
    <w:p w14:paraId="2C9634A0" w14:textId="72AF4EDD" w:rsidR="003801C1" w:rsidRDefault="003801C1" w:rsidP="003801C1">
      <w:pPr>
        <w:pStyle w:val="B1"/>
      </w:pPr>
      <w:r>
        <w:t>-</w:t>
      </w:r>
      <w:r>
        <w:tab/>
        <w:t xml:space="preserve">6 RBs. This value is just aligned with the NTN LTE </w:t>
      </w:r>
      <w:proofErr w:type="spellStart"/>
      <w:r>
        <w:t>CatM</w:t>
      </w:r>
      <w:proofErr w:type="spellEnd"/>
      <w:r>
        <w:t xml:space="preserve"> 1.4MHz channel, size of which is 6RBs. If the NTN operators deploy NTN LTE </w:t>
      </w:r>
      <w:proofErr w:type="spellStart"/>
      <w:r>
        <w:t>CatM</w:t>
      </w:r>
      <w:proofErr w:type="spellEnd"/>
      <w:r>
        <w:t xml:space="preserve">, which is anyway limited to 6 RBs, then this allocation size can be also a good candidate for NR. </w:t>
      </w:r>
    </w:p>
    <w:p w14:paraId="429630AA" w14:textId="04540D85" w:rsidR="003801C1" w:rsidRDefault="003801C1" w:rsidP="003801C1">
      <w:pPr>
        <w:pStyle w:val="B1"/>
      </w:pPr>
      <w:r>
        <w:t>-</w:t>
      </w:r>
      <w:r>
        <w:tab/>
        <w:t xml:space="preserve">15 RBs. This value comes from the 3MHz channel bandwidth, which is going to be standardised for NTN. </w:t>
      </w:r>
      <w:r w:rsidR="007B211A">
        <w:t xml:space="preserve">Our understanding is that it is not likely for a mobile phone to be scheduled with 15 RBs in UL as it would result in a very low PSD, but it can be considered </w:t>
      </w:r>
      <w:r w:rsidR="005466EB">
        <w:t xml:space="preserve">as one of the options. </w:t>
      </w:r>
      <w:r>
        <w:t xml:space="preserve">  </w:t>
      </w:r>
    </w:p>
    <w:p w14:paraId="7E33D30B" w14:textId="3E7C72F0" w:rsidR="003801C1" w:rsidRDefault="003801C1" w:rsidP="003801C1">
      <w:pPr>
        <w:pStyle w:val="B1"/>
      </w:pPr>
      <w:r>
        <w:t>-</w:t>
      </w:r>
      <w:r>
        <w:tab/>
        <w:t xml:space="preserve">25 RBs.  </w:t>
      </w:r>
      <w:r w:rsidR="005466EB">
        <w:t xml:space="preserve">This value comes from the 5MHz channel bandwidth defined for the NTN bands. As with 15 RBs, we do not anticipate that an NTN mobile device can maintain the sufficiently high PSD if 25 RBs are scheduled, but this option will provide noticeable improvements and simplifications to the NTN specification efforts.   </w:t>
      </w:r>
    </w:p>
    <w:p w14:paraId="3B4E8018" w14:textId="77777777" w:rsidR="00D16E5B" w:rsidRDefault="00D16E5B" w:rsidP="00BD5FE5"/>
    <w:p w14:paraId="0E9B52BA" w14:textId="7403AB76" w:rsidR="00AF3A36" w:rsidRDefault="00AF3A36" w:rsidP="00AF3A36">
      <w:pPr>
        <w:pStyle w:val="Heading2"/>
      </w:pPr>
      <w:r>
        <w:lastRenderedPageBreak/>
        <w:t>2.</w:t>
      </w:r>
      <w:r>
        <w:t>3</w:t>
      </w:r>
      <w:r>
        <w:tab/>
      </w:r>
      <w:r>
        <w:t>Other considerations</w:t>
      </w:r>
    </w:p>
    <w:p w14:paraId="64A44FEE" w14:textId="5F7C822F" w:rsidR="00AF3A36" w:rsidRDefault="00AF3A36" w:rsidP="00BD5FE5">
      <w:r>
        <w:t xml:space="preserve">During the previous RAN WG4 meeting discussions several questions were raised on the potential consequences of not considering e.g. high order modulation, large allocations, etc. Practically speaking it will mean that if we do not have performance requirements for certain features or combinations, they cannot be used. In fact, as explained in our paper certain features and/or combination anyway will not be used with NTN, so eventually it will not matter whether we do not use certain combinations because we have too high A-MPR or because we do not have the corresponding RF requirements. However, in the latter case, RAN WG4 will save a lot of time and specification efforts. </w:t>
      </w:r>
    </w:p>
    <w:p w14:paraId="64ED733F" w14:textId="77777777" w:rsidR="00AF3A36" w:rsidRPr="00BD5FE5" w:rsidRDefault="00AF3A36" w:rsidP="00BD5FE5"/>
    <w:p w14:paraId="34C99636" w14:textId="7917B134" w:rsidR="008E7986" w:rsidRDefault="008E7986" w:rsidP="00E27B54">
      <w:pPr>
        <w:pStyle w:val="Heading1"/>
        <w:keepNext w:val="0"/>
        <w:keepLines w:val="0"/>
      </w:pPr>
      <w:r>
        <w:t>3</w:t>
      </w:r>
      <w:r>
        <w:tab/>
        <w:t>Conclusions</w:t>
      </w:r>
    </w:p>
    <w:p w14:paraId="426E541F" w14:textId="1FDB28D1" w:rsidR="00691014" w:rsidRDefault="003C6CB1" w:rsidP="00EA4155">
      <w:pPr>
        <w:jc w:val="both"/>
      </w:pPr>
      <w:r>
        <w:t xml:space="preserve">In this discussion paper we have presented our initial considerations on a potential way to reduce the number of </w:t>
      </w:r>
      <w:r w:rsidR="006C7DE7">
        <w:t>power back-off</w:t>
      </w:r>
      <w:r>
        <w:t xml:space="preserve"> simulations that RAN WG4 </w:t>
      </w:r>
      <w:r w:rsidR="006C7DE7">
        <w:t xml:space="preserve">needs to </w:t>
      </w:r>
      <w:r>
        <w:t>run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to simulate large RB allocations, higher order modulations and some waveforms such as CP-OFDM.  </w:t>
      </w:r>
    </w:p>
    <w:p w14:paraId="17391907" w14:textId="77777777" w:rsidR="00B12ADA" w:rsidRDefault="00B12ADA" w:rsidP="00B12ADA"/>
    <w:p w14:paraId="3D37DEDE" w14:textId="77777777" w:rsidR="006C1EB2"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6C1EB2" w:rsidRPr="009A047F">
        <w:rPr>
          <w:noProof/>
        </w:rPr>
        <w:t>Proposal:</w:t>
      </w:r>
      <w:r w:rsidR="006C1EB2">
        <w:rPr>
          <w:rFonts w:asciiTheme="minorHAnsi" w:eastAsiaTheme="minorEastAsia" w:hAnsiTheme="minorHAnsi" w:cstheme="minorBidi"/>
          <w:b w:val="0"/>
          <w:bCs w:val="0"/>
          <w:noProof/>
          <w:kern w:val="2"/>
          <w:sz w:val="24"/>
          <w:szCs w:val="24"/>
          <w:lang w:val="en-DE" w:eastAsia="ko-KR"/>
          <w14:ligatures w14:val="standardContextual"/>
        </w:rPr>
        <w:tab/>
      </w:r>
      <w:r w:rsidR="006C1EB2">
        <w:rPr>
          <w:noProof/>
        </w:rPr>
        <w:t>To reduce number of power back-off simulations for the FR1 satellite bands, we suggest not considering scenarios/combinations that are not expected for the satellite bands: large RB allocations, CP-OFDM, higher-order modulations.</w:t>
      </w:r>
    </w:p>
    <w:p w14:paraId="0A9AC9A5" w14:textId="236DAD56"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9" w:name="_Ref13820109"/>
      <w:r w:rsidRPr="00804854">
        <w:t>RP-193234</w:t>
      </w:r>
      <w:r>
        <w:t>, "</w:t>
      </w:r>
      <w:r w:rsidRPr="00804854">
        <w:t>Solutions for NR to support non-terrestrial networks (NTN)</w:t>
      </w:r>
      <w:r>
        <w:t>", Thales</w:t>
      </w:r>
      <w:bookmarkEnd w:id="9"/>
    </w:p>
    <w:p w14:paraId="6E7B37CC" w14:textId="77777777" w:rsidR="00FF5898" w:rsidRDefault="00FF5898" w:rsidP="00FF5898">
      <w:pPr>
        <w:pStyle w:val="EX"/>
        <w:numPr>
          <w:ilvl w:val="0"/>
          <w:numId w:val="5"/>
        </w:numPr>
      </w:pPr>
      <w:bookmarkStart w:id="10" w:name="_Ref126142327"/>
      <w:r w:rsidRPr="00F55FAD">
        <w:t>RP-223431</w:t>
      </w:r>
      <w:r>
        <w:t>, "</w:t>
      </w:r>
      <w:r w:rsidRPr="00F55FAD">
        <w:t>New WID on Introduction of the satellite L-/S-band</w:t>
      </w:r>
      <w:r>
        <w:t>", Globalstar, Apple</w:t>
      </w:r>
      <w:bookmarkEnd w:id="10"/>
    </w:p>
    <w:p w14:paraId="00A35010" w14:textId="335AF123" w:rsidR="009335CA" w:rsidRDefault="009335CA" w:rsidP="00FF5898">
      <w:pPr>
        <w:pStyle w:val="EX"/>
        <w:numPr>
          <w:ilvl w:val="0"/>
          <w:numId w:val="5"/>
        </w:numPr>
      </w:pPr>
      <w:bookmarkStart w:id="11"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11"/>
      <w:proofErr w:type="spellEnd"/>
    </w:p>
    <w:p w14:paraId="672A525E" w14:textId="470B376A" w:rsidR="009335CA" w:rsidRDefault="009335CA" w:rsidP="00FF5898">
      <w:pPr>
        <w:pStyle w:val="EX"/>
        <w:numPr>
          <w:ilvl w:val="0"/>
          <w:numId w:val="5"/>
        </w:numPr>
      </w:pPr>
      <w:bookmarkStart w:id="12" w:name="_Ref173832184"/>
      <w:r w:rsidRPr="009335CA">
        <w:t>RP-240857, "New WID: Enhanced requirements and test methodology for NR and IoT NTN"</w:t>
      </w:r>
      <w:bookmarkEnd w:id="12"/>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063C6" w14:textId="77777777" w:rsidR="00A80D29" w:rsidRDefault="00A80D29">
      <w:r>
        <w:separator/>
      </w:r>
    </w:p>
  </w:endnote>
  <w:endnote w:type="continuationSeparator" w:id="0">
    <w:p w14:paraId="7EFA6C7D" w14:textId="77777777" w:rsidR="00A80D29" w:rsidRDefault="00A8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2D64" w14:textId="77777777" w:rsidR="00A80D29" w:rsidRDefault="00A80D29">
      <w:r>
        <w:separator/>
      </w:r>
    </w:p>
  </w:footnote>
  <w:footnote w:type="continuationSeparator" w:id="0">
    <w:p w14:paraId="4039FAF7" w14:textId="77777777" w:rsidR="00A80D29" w:rsidRDefault="00A80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55F6"/>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667E5"/>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0A10"/>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200"/>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7D66"/>
    <w:rsid w:val="006C1EB2"/>
    <w:rsid w:val="006C2B4C"/>
    <w:rsid w:val="006C351C"/>
    <w:rsid w:val="006C3B46"/>
    <w:rsid w:val="006C3D95"/>
    <w:rsid w:val="006C5CE0"/>
    <w:rsid w:val="006C7DE7"/>
    <w:rsid w:val="006D012B"/>
    <w:rsid w:val="006D21E5"/>
    <w:rsid w:val="006D493B"/>
    <w:rsid w:val="006D5318"/>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0C44"/>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35CA"/>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2E6C"/>
    <w:rsid w:val="00A53724"/>
    <w:rsid w:val="00A556DB"/>
    <w:rsid w:val="00A63895"/>
    <w:rsid w:val="00A6585D"/>
    <w:rsid w:val="00A73129"/>
    <w:rsid w:val="00A801B4"/>
    <w:rsid w:val="00A80D29"/>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1"/>
    <w:rsid w:val="00AD30A9"/>
    <w:rsid w:val="00AD32F4"/>
    <w:rsid w:val="00AD3CE6"/>
    <w:rsid w:val="00AD7733"/>
    <w:rsid w:val="00AE1E1D"/>
    <w:rsid w:val="00AE24D1"/>
    <w:rsid w:val="00AE2C35"/>
    <w:rsid w:val="00AE3797"/>
    <w:rsid w:val="00AE6DAB"/>
    <w:rsid w:val="00AF0800"/>
    <w:rsid w:val="00AF3A36"/>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5221"/>
    <w:rsid w:val="00F102A7"/>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4</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2019-02-25T14:05:00Z</cp:lastPrinted>
  <dcterms:created xsi:type="dcterms:W3CDTF">2025-02-07T08:47:00Z</dcterms:created>
  <dcterms:modified xsi:type="dcterms:W3CDTF">2025-02-07T21:53:00Z</dcterms:modified>
  <cp:category/>
</cp:coreProperties>
</file>